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2717D1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bookmarkStart w:id="0" w:name="_GoBack"/>
      <w:bookmarkEnd w:id="0"/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7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8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3E193F" w:rsidRDefault="002717D1" w:rsidP="003E193F">
      <w:pPr>
        <w:spacing w:after="0" w:line="240" w:lineRule="auto"/>
        <w:jc w:val="center"/>
        <w:rPr>
          <w:rFonts w:ascii="Arial" w:eastAsia="Times New Roman" w:hAnsi="Arial" w:cs="Arial"/>
          <w:iCs/>
          <w:lang w:eastAsia="es-CO"/>
        </w:rPr>
      </w:pPr>
      <w:r w:rsidRPr="00B275D0">
        <w:rPr>
          <w:rFonts w:ascii="Arial" w:hAnsi="Arial" w:cs="Arial"/>
          <w:b/>
          <w:bCs/>
        </w:rPr>
        <w:t>TEXTO DEFINITIVO APROBADO EN PRI</w:t>
      </w:r>
      <w:r w:rsidR="005D3575" w:rsidRPr="00B275D0">
        <w:rPr>
          <w:rFonts w:ascii="Arial" w:hAnsi="Arial" w:cs="Arial"/>
          <w:b/>
          <w:bCs/>
        </w:rPr>
        <w:t xml:space="preserve">MER DEBATE </w:t>
      </w:r>
      <w:r w:rsidR="007B03BB" w:rsidRPr="00B275D0">
        <w:rPr>
          <w:rFonts w:ascii="Arial" w:hAnsi="Arial" w:cs="Arial"/>
          <w:b/>
          <w:bCs/>
        </w:rPr>
        <w:t>DE</w:t>
      </w:r>
      <w:r w:rsidR="005D3575" w:rsidRPr="00B275D0">
        <w:rPr>
          <w:rFonts w:ascii="Arial" w:hAnsi="Arial" w:cs="Arial"/>
          <w:b/>
          <w:bCs/>
        </w:rPr>
        <w:t>L PROYECTO DE LEY No</w:t>
      </w:r>
      <w:r w:rsidRPr="00B275D0">
        <w:rPr>
          <w:rFonts w:ascii="Arial" w:hAnsi="Arial" w:cs="Arial"/>
          <w:b/>
          <w:bCs/>
        </w:rPr>
        <w:t xml:space="preserve">. </w:t>
      </w:r>
      <w:r w:rsidR="0090242F">
        <w:rPr>
          <w:rFonts w:ascii="Arial" w:hAnsi="Arial" w:cs="Arial"/>
          <w:b/>
          <w:bCs/>
        </w:rPr>
        <w:t>097</w:t>
      </w:r>
      <w:r w:rsidR="00C36122" w:rsidRPr="00B275D0">
        <w:rPr>
          <w:rFonts w:ascii="Arial" w:hAnsi="Arial" w:cs="Arial"/>
          <w:b/>
        </w:rPr>
        <w:t xml:space="preserve"> DE 201</w:t>
      </w:r>
      <w:r w:rsidR="00D94A44">
        <w:rPr>
          <w:rFonts w:ascii="Arial" w:hAnsi="Arial" w:cs="Arial"/>
          <w:b/>
        </w:rPr>
        <w:t>7</w:t>
      </w:r>
      <w:r w:rsidR="00C36122" w:rsidRPr="00B275D0">
        <w:rPr>
          <w:rFonts w:ascii="Arial" w:hAnsi="Arial" w:cs="Arial"/>
          <w:b/>
        </w:rPr>
        <w:t xml:space="preserve"> </w:t>
      </w:r>
      <w:r w:rsidR="00E501B8" w:rsidRPr="00B275D0">
        <w:rPr>
          <w:rFonts w:ascii="Arial" w:hAnsi="Arial" w:cs="Arial"/>
          <w:b/>
        </w:rPr>
        <w:t xml:space="preserve">CÁMARA </w:t>
      </w:r>
      <w:r w:rsidR="00065EC1" w:rsidRPr="00065EC1">
        <w:rPr>
          <w:rFonts w:ascii="Arial" w:hAnsi="Arial" w:cs="Arial"/>
          <w:b/>
        </w:rPr>
        <w:t>“</w:t>
      </w:r>
      <w:r w:rsidR="00334C3A" w:rsidRPr="00DD3F11">
        <w:rPr>
          <w:rFonts w:ascii="Arial" w:eastAsia="Times New Roman" w:hAnsi="Arial"/>
          <w:b/>
          <w:lang w:eastAsia="es-CO"/>
        </w:rPr>
        <w:t>POR MEDIO DE LA CUAL SE EXPIDE LA LEY DEL ACTOR PARA GARANTIZAR LOS DERECHOS LABORALES</w:t>
      </w:r>
      <w:r w:rsidR="00334C3A">
        <w:rPr>
          <w:rFonts w:ascii="Arial" w:eastAsia="Times New Roman" w:hAnsi="Arial"/>
          <w:b/>
          <w:lang w:eastAsia="es-CO"/>
        </w:rPr>
        <w:t>,</w:t>
      </w:r>
      <w:r w:rsidR="00334C3A" w:rsidRPr="00DD3F11">
        <w:rPr>
          <w:rFonts w:ascii="Arial" w:eastAsia="Times New Roman" w:hAnsi="Arial"/>
          <w:b/>
          <w:lang w:eastAsia="es-CO"/>
        </w:rPr>
        <w:t xml:space="preserve"> CULTURALES </w:t>
      </w:r>
      <w:r w:rsidR="00515700">
        <w:rPr>
          <w:rFonts w:ascii="Arial" w:eastAsia="Times New Roman" w:hAnsi="Arial"/>
          <w:b/>
          <w:lang w:eastAsia="es-CO"/>
        </w:rPr>
        <w:t>Y</w:t>
      </w:r>
      <w:r w:rsidR="00515700" w:rsidRPr="00DD3F11">
        <w:rPr>
          <w:rFonts w:ascii="Arial" w:eastAsia="Times New Roman" w:hAnsi="Arial"/>
          <w:b/>
          <w:lang w:eastAsia="es-CO"/>
        </w:rPr>
        <w:t xml:space="preserve"> FOMENTAR</w:t>
      </w:r>
      <w:r w:rsidR="00334C3A" w:rsidRPr="00DD3F11">
        <w:rPr>
          <w:rFonts w:ascii="Arial" w:eastAsia="Times New Roman" w:hAnsi="Arial"/>
          <w:b/>
          <w:lang w:eastAsia="es-CO"/>
        </w:rPr>
        <w:t xml:space="preserve"> OPORTUNIDADES DE EMPLEO </w:t>
      </w:r>
      <w:r w:rsidR="00334C3A">
        <w:rPr>
          <w:rFonts w:ascii="Arial" w:eastAsia="Times New Roman" w:hAnsi="Arial"/>
          <w:b/>
          <w:lang w:eastAsia="es-CO"/>
        </w:rPr>
        <w:t xml:space="preserve">DE LOS ACTORES Y ACTRICES EN COLOMBIA </w:t>
      </w:r>
      <w:r w:rsidR="00334C3A" w:rsidRPr="00DD3F11">
        <w:rPr>
          <w:rFonts w:ascii="Arial" w:eastAsia="Times New Roman" w:hAnsi="Arial"/>
          <w:b/>
          <w:lang w:eastAsia="es-CO"/>
        </w:rPr>
        <w:t>Y SE DICTAN OTRAS DISPOSICIONES</w:t>
      </w:r>
      <w:r w:rsidR="00065EC1" w:rsidRPr="00065EC1">
        <w:rPr>
          <w:rFonts w:ascii="Arial" w:eastAsia="Times New Roman" w:hAnsi="Arial" w:cs="Arial"/>
          <w:b/>
          <w:iCs/>
          <w:color w:val="000000"/>
          <w:lang w:eastAsia="es-CO"/>
        </w:rPr>
        <w:t>”</w:t>
      </w:r>
      <w:r w:rsidR="00065EC1" w:rsidRPr="00065EC1">
        <w:rPr>
          <w:rFonts w:ascii="Arial" w:hAnsi="Arial" w:cs="Arial"/>
          <w:b/>
        </w:rPr>
        <w:t>.</w:t>
      </w:r>
    </w:p>
    <w:p w:rsidR="00E9282E" w:rsidRDefault="00E9282E" w:rsidP="00151008">
      <w:pPr>
        <w:spacing w:line="240" w:lineRule="auto"/>
        <w:contextualSpacing/>
        <w:jc w:val="center"/>
        <w:rPr>
          <w:rFonts w:ascii="Arial" w:hAnsi="Arial" w:cs="Arial"/>
        </w:rPr>
      </w:pPr>
    </w:p>
    <w:p w:rsidR="002717D1" w:rsidRPr="000911A5" w:rsidRDefault="002717D1" w:rsidP="00151008">
      <w:pPr>
        <w:spacing w:line="240" w:lineRule="auto"/>
        <w:contextualSpacing/>
        <w:jc w:val="center"/>
        <w:rPr>
          <w:rFonts w:ascii="Arial" w:hAnsi="Arial" w:cs="Arial"/>
        </w:rPr>
      </w:pPr>
      <w:r w:rsidRPr="000911A5">
        <w:rPr>
          <w:rFonts w:ascii="Arial" w:hAnsi="Arial" w:cs="Arial"/>
        </w:rPr>
        <w:t>(</w:t>
      </w:r>
      <w:r w:rsidRPr="00741569">
        <w:rPr>
          <w:rFonts w:ascii="Arial" w:hAnsi="Arial" w:cs="Arial"/>
        </w:rPr>
        <w:t xml:space="preserve">Aprobado en la </w:t>
      </w:r>
      <w:r w:rsidR="006B757E" w:rsidRPr="00741569">
        <w:rPr>
          <w:rFonts w:ascii="Arial" w:hAnsi="Arial" w:cs="Arial"/>
        </w:rPr>
        <w:t>Sesión</w:t>
      </w:r>
      <w:r w:rsidRPr="00741569">
        <w:rPr>
          <w:rFonts w:ascii="Arial" w:hAnsi="Arial" w:cs="Arial"/>
        </w:rPr>
        <w:t xml:space="preserve"> de</w:t>
      </w:r>
      <w:r w:rsidR="006B757E" w:rsidRPr="00741569">
        <w:rPr>
          <w:rFonts w:ascii="Arial" w:hAnsi="Arial" w:cs="Arial"/>
        </w:rPr>
        <w:t xml:space="preserve">l </w:t>
      </w:r>
      <w:r w:rsidR="00334C3A">
        <w:rPr>
          <w:rFonts w:ascii="Arial" w:hAnsi="Arial" w:cs="Arial"/>
        </w:rPr>
        <w:t>19</w:t>
      </w:r>
      <w:r w:rsidRPr="00741569">
        <w:rPr>
          <w:rFonts w:ascii="Arial" w:hAnsi="Arial" w:cs="Arial"/>
        </w:rPr>
        <w:t xml:space="preserve"> de </w:t>
      </w:r>
      <w:r w:rsidR="00065EC1" w:rsidRPr="00741569">
        <w:rPr>
          <w:rFonts w:ascii="Arial" w:hAnsi="Arial" w:cs="Arial"/>
        </w:rPr>
        <w:t xml:space="preserve">septiembre </w:t>
      </w:r>
      <w:r w:rsidRPr="00741569">
        <w:rPr>
          <w:rFonts w:ascii="Arial" w:hAnsi="Arial" w:cs="Arial"/>
        </w:rPr>
        <w:t>de 201</w:t>
      </w:r>
      <w:r w:rsidR="009C714F" w:rsidRPr="00741569">
        <w:rPr>
          <w:rFonts w:ascii="Arial" w:hAnsi="Arial" w:cs="Arial"/>
        </w:rPr>
        <w:t>7</w:t>
      </w:r>
      <w:r w:rsidRPr="00741569">
        <w:rPr>
          <w:rFonts w:ascii="Arial" w:hAnsi="Arial" w:cs="Arial"/>
        </w:rPr>
        <w:t xml:space="preserve"> en la Comisión VII de la H. Cámara de Representantes, Acta No.</w:t>
      </w:r>
      <w:r w:rsidR="006B757E" w:rsidRPr="00741569">
        <w:rPr>
          <w:rFonts w:ascii="Arial" w:hAnsi="Arial" w:cs="Arial"/>
        </w:rPr>
        <w:t xml:space="preserve"> </w:t>
      </w:r>
      <w:r w:rsidR="00334C3A">
        <w:rPr>
          <w:rFonts w:ascii="Arial" w:hAnsi="Arial" w:cs="Arial"/>
        </w:rPr>
        <w:t>11</w:t>
      </w:r>
      <w:r w:rsidRPr="000911A5">
        <w:rPr>
          <w:rFonts w:ascii="Arial" w:hAnsi="Arial" w:cs="Arial"/>
        </w:rPr>
        <w:t>)</w:t>
      </w:r>
    </w:p>
    <w:p w:rsidR="009E52D9" w:rsidRDefault="009E52D9" w:rsidP="002717D1">
      <w:pPr>
        <w:spacing w:after="0" w:line="288" w:lineRule="atLeast"/>
        <w:jc w:val="center"/>
        <w:textAlignment w:val="center"/>
        <w:rPr>
          <w:rFonts w:ascii="Arial" w:eastAsia="Arial Unicode MS" w:hAnsi="Arial" w:cs="Arial"/>
          <w:b/>
          <w:color w:val="000000"/>
          <w:lang w:eastAsia="es-ES"/>
        </w:rPr>
      </w:pPr>
    </w:p>
    <w:p w:rsidR="00334C3A" w:rsidRDefault="00334C3A" w:rsidP="001C7B89">
      <w:pPr>
        <w:jc w:val="center"/>
        <w:rPr>
          <w:rFonts w:ascii="Arial" w:hAnsi="Arial" w:cs="Arial"/>
          <w:b/>
        </w:rPr>
      </w:pPr>
    </w:p>
    <w:p w:rsidR="001C7B89" w:rsidRPr="00CA67F1" w:rsidRDefault="001C7B89" w:rsidP="001C7B89">
      <w:pPr>
        <w:jc w:val="center"/>
        <w:rPr>
          <w:rFonts w:ascii="Arial" w:hAnsi="Arial" w:cs="Arial"/>
          <w:b/>
        </w:rPr>
      </w:pPr>
      <w:r w:rsidRPr="00CA67F1">
        <w:rPr>
          <w:rFonts w:ascii="Arial" w:hAnsi="Arial" w:cs="Arial"/>
          <w:b/>
        </w:rPr>
        <w:t>EL CONGRESO DE COLOMBIA</w:t>
      </w:r>
    </w:p>
    <w:p w:rsidR="00334C3A" w:rsidRDefault="00334C3A" w:rsidP="001C7B89">
      <w:pPr>
        <w:pStyle w:val="Sinespaciado"/>
        <w:jc w:val="center"/>
        <w:rPr>
          <w:rFonts w:ascii="Arial" w:hAnsi="Arial" w:cs="Arial"/>
          <w:b/>
        </w:rPr>
      </w:pPr>
    </w:p>
    <w:p w:rsidR="001C7B89" w:rsidRPr="00AA3B73" w:rsidRDefault="001C7B89" w:rsidP="001C7B89">
      <w:pPr>
        <w:pStyle w:val="Sinespaciado"/>
        <w:jc w:val="center"/>
        <w:rPr>
          <w:rFonts w:ascii="Arial" w:hAnsi="Arial" w:cs="Arial"/>
          <w:b/>
        </w:rPr>
      </w:pPr>
      <w:r w:rsidRPr="00AA3B73">
        <w:rPr>
          <w:rFonts w:ascii="Arial" w:hAnsi="Arial" w:cs="Arial"/>
          <w:b/>
        </w:rPr>
        <w:t>DECRETA</w:t>
      </w:r>
    </w:p>
    <w:p w:rsidR="001C7B89" w:rsidRPr="00AA3B73" w:rsidRDefault="001C7B89" w:rsidP="001C7B89">
      <w:pPr>
        <w:pStyle w:val="Sinespaciado"/>
        <w:jc w:val="center"/>
        <w:rPr>
          <w:rFonts w:ascii="Arial" w:eastAsia="Times New Roman" w:hAnsi="Arial" w:cs="Arial"/>
          <w:b/>
          <w:color w:val="0D0D0D" w:themeColor="text1" w:themeTint="F2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1°. </w:t>
      </w:r>
      <w:r w:rsidRPr="00DD3F11">
        <w:rPr>
          <w:rFonts w:ascii="Arial" w:hAnsi="Arial" w:cs="Arial"/>
          <w:b/>
          <w:i/>
          <w:iCs/>
          <w:lang w:val="es-ES_tradnl"/>
        </w:rPr>
        <w:t>Objeto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La presente ley tiene por objeto establecer un conjunto de medidas para la promoción, estímulo y protección del trabajo de los actores y actrices; dignificar el ejercicio de la actuación; fomentar la formación profesional; garantizar los derechos laborales y culturales de los actores y actrices en sus interpretaciones, su realización y su difusión.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Igualmente fomentar y promover la realización de productos audiovisuales dramatizados, obras cinematográficas de ficción y obras teatrales, en Colombia.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Lo anterior con el fin de afianzar la cultura e identidad colectiva de nuestro país.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 xml:space="preserve">Artículo 2°. </w:t>
      </w:r>
      <w:r w:rsidRPr="00DD3F11">
        <w:rPr>
          <w:rFonts w:ascii="Arial" w:hAnsi="Arial" w:cs="Arial"/>
          <w:b/>
          <w:i/>
          <w:iCs/>
          <w:lang w:val="es-ES_tradnl"/>
        </w:rPr>
        <w:t>Actor o actriz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Se considera actor o actriz para efectos de esta ley, aquel artista que se sirve de su cuerpo, su voz, su intelecto y su capacidad histriónica para interpretar personajes en distintos roles, de acuerdo a las estructuras y géneros dramáticos en producciones teatrales y todo tipo de expresiones artísticas, realizaciones audiovisuales, radiales y en los demás medios en los que se ejerza la actuación.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lang w:val="es-ES_tradnl"/>
        </w:rPr>
        <w:t>El actor o actriz prepara la interpretación o caracterización del personaje, ensaya la realización de la obra, investiga, estudia, memoriza guiones y realiza otras actividades relacionadas con el mismo.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3°. Contribución </w:t>
      </w:r>
      <w:r w:rsidRPr="00DD3F11">
        <w:rPr>
          <w:rFonts w:ascii="Arial" w:hAnsi="Arial" w:cs="Arial"/>
          <w:b/>
          <w:iCs/>
          <w:lang w:val="es-ES_tradnl"/>
        </w:rPr>
        <w:t>artística al patrimonio cultural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Las interpretaciones artísticas de los actores contribuyen a la construcción de identidad cultural y memoria de la nación. De acuerdo con lo anterior, el trabajo de los actores debe ser protegido y sus derechos garantizados por el Estado. Las producciones dramáticas en cine, televisión, teatro y otras formas de lenguaje escénico o audiovisual son expresiones del Patrimonio Cultural de la Nación.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4°. </w:t>
      </w:r>
      <w:r w:rsidRPr="00DD3F11">
        <w:rPr>
          <w:rFonts w:ascii="Arial" w:hAnsi="Arial" w:cs="Arial"/>
          <w:b/>
          <w:i/>
          <w:iCs/>
          <w:lang w:val="es-ES_tradnl"/>
        </w:rPr>
        <w:t>De las producciones cinematográficas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Las producciones cinematográficas de cualquier género o formato se rigen en cuanto a cuotas de participación artística, técnica y económica por las disposiciones de las Leyes 397 de 1997, 814 de 2003 y 1556 de 2012, sus </w:t>
      </w:r>
      <w:r w:rsidRPr="00DD3F11">
        <w:rPr>
          <w:rFonts w:ascii="Arial" w:hAnsi="Arial" w:cs="Arial"/>
          <w:lang w:val="es-ES_tradnl"/>
        </w:rPr>
        <w:lastRenderedPageBreak/>
        <w:t>reglamentaciones, y normas que las modifiquen o sustituyan, así como por los tratados internacionales aprobados por el país en la materia.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lang w:val="es-ES_tradnl"/>
        </w:rPr>
        <w:t>Sin perjuicio ni alteración de estas disposiciones mencionadas, las entidades responsables del cumplimiento de estas normas, buscaran promover, facilitar, y estimular la contratación de actores colombianos en las producciones colombianas o las realizadas en Colombia.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center"/>
        <w:rPr>
          <w:rFonts w:ascii="Arial" w:eastAsia="Times New Roman" w:hAnsi="Arial" w:cs="Arial"/>
          <w:b/>
          <w:lang w:eastAsia="es-CO"/>
        </w:rPr>
      </w:pPr>
      <w:r w:rsidRPr="00DD3F11">
        <w:rPr>
          <w:rFonts w:ascii="Arial" w:hAnsi="Arial" w:cs="Arial"/>
          <w:b/>
          <w:lang w:val="es-ES_tradnl"/>
        </w:rPr>
        <w:t>CAPÍTULO II</w:t>
      </w:r>
    </w:p>
    <w:p w:rsidR="00334C3A" w:rsidRPr="00DD3F11" w:rsidRDefault="00334C3A" w:rsidP="00334C3A">
      <w:pPr>
        <w:pStyle w:val="Sinespaciado"/>
        <w:jc w:val="center"/>
        <w:rPr>
          <w:rFonts w:ascii="Arial" w:eastAsia="Times New Roman" w:hAnsi="Arial" w:cs="Arial"/>
          <w:b/>
          <w:lang w:eastAsia="es-CO"/>
        </w:rPr>
      </w:pPr>
      <w:r w:rsidRPr="00DD3F11">
        <w:rPr>
          <w:rFonts w:ascii="Arial" w:hAnsi="Arial" w:cs="Arial"/>
          <w:b/>
          <w:bCs/>
          <w:lang w:val="es-ES_tradnl"/>
        </w:rPr>
        <w:t>Profesionalización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5°. </w:t>
      </w:r>
      <w:r w:rsidRPr="00DD3F11">
        <w:rPr>
          <w:rFonts w:ascii="Arial" w:hAnsi="Arial" w:cs="Arial"/>
          <w:b/>
          <w:i/>
          <w:lang w:val="es-ES_tradnl"/>
        </w:rPr>
        <w:t>La Actuación como profesión</w:t>
      </w:r>
      <w:r w:rsidRPr="00DD3F11">
        <w:rPr>
          <w:rFonts w:ascii="Arial" w:hAnsi="Arial" w:cs="Arial"/>
          <w:b/>
          <w:lang w:val="es-ES_tradnl"/>
        </w:rPr>
        <w:t xml:space="preserve">. </w:t>
      </w:r>
      <w:r w:rsidRPr="00DD3F11">
        <w:rPr>
          <w:rFonts w:ascii="Arial" w:hAnsi="Arial" w:cs="Arial"/>
          <w:lang w:val="es-ES_tradnl"/>
        </w:rPr>
        <w:t>El Estado fomentará los programas de profesionalización y formación de los actores y actrices en los diferentes niveles de educación formal y de educación para el trabajo y el desarrollo humano, en las áreas de las artes escénicas o afines y de la actuación en Colombia.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Artículo 6</w:t>
      </w:r>
      <w:r w:rsidRPr="00DD3F11">
        <w:rPr>
          <w:rFonts w:ascii="Arial" w:hAnsi="Arial" w:cs="Arial"/>
          <w:b/>
          <w:i/>
          <w:lang w:val="es-ES_tradnl"/>
        </w:rPr>
        <w:t>°. Educación e investigación en artes escénicas o afines</w:t>
      </w:r>
      <w:r w:rsidRPr="00DD3F11">
        <w:rPr>
          <w:rFonts w:ascii="Arial" w:hAnsi="Arial" w:cs="Arial"/>
          <w:b/>
          <w:lang w:val="es-ES_tradnl"/>
        </w:rPr>
        <w:t xml:space="preserve">.  </w:t>
      </w:r>
      <w:r w:rsidRPr="00DD3F11">
        <w:rPr>
          <w:rFonts w:ascii="Arial" w:hAnsi="Arial" w:cs="Arial"/>
          <w:lang w:val="es-ES_tradnl"/>
        </w:rPr>
        <w:t>Las instituciones de educación superior podrán desarrollar programas de alta calidad en artes escénicas o afines, previo el cumplimiento de los requisitos exigidos por el Ministerio de Educación Nacional.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lang w:val="es-ES_tradnl"/>
        </w:rPr>
        <w:t>Los Ministerios de Educación Nacional y Cultura promoverán el fortalecimiento de la política educativa para los postgrados y programas de formación para los actores y actrices.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  <w:r w:rsidRPr="00DD3F11">
        <w:rPr>
          <w:rFonts w:ascii="Arial" w:hAnsi="Arial" w:cs="Arial"/>
          <w:lang w:val="es-ES_tradnl"/>
        </w:rPr>
        <w:t xml:space="preserve"> 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 xml:space="preserve">Artículo 7°. </w:t>
      </w:r>
      <w:r w:rsidRPr="00DD3F11">
        <w:rPr>
          <w:rFonts w:ascii="Arial" w:hAnsi="Arial" w:cs="Arial"/>
          <w:b/>
          <w:i/>
          <w:iCs/>
          <w:lang w:val="es-ES_tradnl"/>
        </w:rPr>
        <w:t>Registro Nacional de Actores y Actrices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Créase el Registro Nacional de Actores y Actrices como instrumento para inscribir, conservar y actualizar la información de los actores y actrices, como fundamento para la creación de políticas públicas que desarrollen el objeto de esta ley. El Registro será público y estará a cargo del Ministerio de Cultura, quien garantizará su efectivo funcionamiento y financiación. Entrará en funcionamiento por lo menos en el año siguiente a la vigencia de la presente ley.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El actor o actriz debe contar con uno de los siguientes requisitos para ser inscrito en el registro de que trata este artículo: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i) Título profesional en artes escénicas o títulos equivalentes al teatro, las artes dramáticas o audiovisuales.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ii) Experiencia demostrable como actor en cine, teatro, televisión, radio, series web o en otros medios y espacios donde se pueda ejercer la actuación.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val="es-ES_tradnl"/>
        </w:rPr>
      </w:pPr>
      <w:r w:rsidRPr="00DD3F11">
        <w:rPr>
          <w:rFonts w:ascii="Arial" w:hAnsi="Arial" w:cs="Arial"/>
          <w:lang w:val="es-ES_tradnl"/>
        </w:rPr>
        <w:t>iii</w:t>
      </w:r>
      <w:r w:rsidRPr="00DD3F11">
        <w:rPr>
          <w:rFonts w:ascii="Arial" w:eastAsia="Times New Roman" w:hAnsi="Arial" w:cs="Arial"/>
          <w:lang w:val="es-ES_tradnl"/>
        </w:rPr>
        <w:t>) Combinación entre educación formal y educación para el trabajo y el desarrollo humano, en la que se acredite educación técnica o tecnológica y experiencia en la actuación.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El registro no será una condición necesaria para la contratación de los actores; las producciones pueden definir autónomamente la vinculación de actores no inscritos en el registro, siempre y cuando se les respete los derechos y garantías establecidos en la ley.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Parágrafo 1°.</w:t>
      </w:r>
      <w:r w:rsidRPr="00DD3F11">
        <w:rPr>
          <w:rFonts w:ascii="Arial" w:hAnsi="Arial" w:cs="Arial"/>
          <w:lang w:val="es-ES_tradnl"/>
        </w:rPr>
        <w:t xml:space="preserve"> El Registro Nacional de Actores contendrá la información correspondiente a: nombre e identificación del actor o actriz, estudios universitarios, de posgrado, maestría o doctorado, estudios relacionados de educación para el trabajo y el desarrollo humano y demás información conveniente a los propósitos de esta ley.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334C3A" w:rsidRPr="00DD3F11" w:rsidRDefault="00334C3A" w:rsidP="00334C3A">
      <w:pPr>
        <w:pStyle w:val="Sinespaciado"/>
        <w:jc w:val="center"/>
        <w:rPr>
          <w:rFonts w:ascii="Arial" w:eastAsia="Times New Roman" w:hAnsi="Arial" w:cs="Arial"/>
          <w:b/>
          <w:lang w:eastAsia="es-CO"/>
        </w:rPr>
      </w:pPr>
      <w:r w:rsidRPr="00DD3F11">
        <w:rPr>
          <w:rFonts w:ascii="Arial" w:hAnsi="Arial" w:cs="Arial"/>
          <w:b/>
          <w:lang w:val="es-ES_tradnl"/>
        </w:rPr>
        <w:t>CAPÍTULO III</w:t>
      </w:r>
    </w:p>
    <w:p w:rsidR="00334C3A" w:rsidRPr="00DD3F11" w:rsidRDefault="00334C3A" w:rsidP="00334C3A">
      <w:pPr>
        <w:pStyle w:val="Sinespaciado"/>
        <w:jc w:val="center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bCs/>
          <w:lang w:val="es-ES_tradnl"/>
        </w:rPr>
        <w:t>Condiciones de trabajo para los actores y actrices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lastRenderedPageBreak/>
        <w:t xml:space="preserve">Artículo 8°. </w:t>
      </w:r>
      <w:r w:rsidRPr="00DD3F11">
        <w:rPr>
          <w:rFonts w:ascii="Arial" w:hAnsi="Arial" w:cs="Arial"/>
          <w:b/>
          <w:i/>
          <w:iCs/>
          <w:lang w:val="es-ES_tradnl"/>
        </w:rPr>
        <w:t>Organización de actores</w:t>
      </w:r>
      <w:r w:rsidRPr="00DD3F11">
        <w:rPr>
          <w:rFonts w:ascii="Arial" w:hAnsi="Arial" w:cs="Arial"/>
          <w:lang w:val="es-ES_tradnl"/>
        </w:rPr>
        <w:t>. Los actores y actrices tienen la libertad y el derecho de constituir organizaciones y/o asociaciones sindicales y profesionales, y de afiliarse a ellas así como de negociar colectivamente a niveles de empresa, grupo económico, industria o rama de actividad económica. Dichas organizaciones tendrán derecho a participar en la elaboración, la implementación y evaluación de las políticas públicas culturales y laborales, incluida la formación profesional de los actores y actrices, así como en la determinación de sus condiciones de trabajo.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lang w:val="es-ES_tradnl"/>
        </w:rPr>
        <w:t>El Estado garantizará la organización, promoción y capacitación de las organizaciones o asociaciones sindicales y profesionales, sin detrimento de su autonomía con el objeto de que constituyan mecanismos democráticos de representación en las diferentes instancias de participación, concertación, control y vigilancia de la gestión pública que se establezca.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>Artículo 9.</w:t>
      </w:r>
      <w:r w:rsidRPr="00DD3F11">
        <w:rPr>
          <w:rFonts w:ascii="Arial" w:hAnsi="Arial" w:cs="Arial"/>
          <w:b/>
          <w:i/>
          <w:iCs/>
          <w:lang w:val="es-ES_tradnl"/>
        </w:rPr>
        <w:t xml:space="preserve"> Tipo de vinculación para actores y actrices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El trabajo de los actores podrá prestarse de manera dependiente o independiente, de forma individual o asociada. Para cada caso se aplicará la normatividad de seguridad social integral, así como de salud y seguridad en el trabajo. Para las jornadas de trabajo, descansos, y condiciones de prestación de servicio se atenderá lo contemplado en la presente ley en ausencia de normas más favorables.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>Parágrafo 1°.</w:t>
      </w:r>
      <w:r w:rsidRPr="00DD3F11">
        <w:rPr>
          <w:rFonts w:ascii="Arial" w:hAnsi="Arial" w:cs="Arial"/>
          <w:lang w:val="es-ES_tradnl"/>
        </w:rPr>
        <w:t xml:space="preserve"> Cuando la vinculación sea de carácter laboral se aplicarán las disposiciones del Código Sustantivo del Trabajo.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Parágrafo 2°.</w:t>
      </w:r>
      <w:r w:rsidRPr="00DD3F11">
        <w:rPr>
          <w:rFonts w:ascii="Arial" w:hAnsi="Arial" w:cs="Arial"/>
          <w:lang w:val="es-ES_tradnl"/>
        </w:rPr>
        <w:t xml:space="preserve"> Cuando la vinculación de los actores y actrices a una producción sea bajo una modalidad sin dependencia laboral, de carácter individual o asociada, las partes pactarán el tiempo de ejecución del servicio atendiendo el criterio de coordinación, observando como referente un máximo de 12 horas diarias o 72 horas semanales a fin de que el contratista pueda tener espacios de descanso.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</w:rPr>
      </w:pPr>
      <w:r w:rsidRPr="00DD3F11">
        <w:rPr>
          <w:rFonts w:ascii="Arial" w:hAnsi="Arial" w:cs="Arial"/>
          <w:b/>
          <w:lang w:val="es-ES_tradnl"/>
        </w:rPr>
        <w:t xml:space="preserve">Artículo 10. </w:t>
      </w:r>
      <w:r w:rsidRPr="00DD3F11">
        <w:rPr>
          <w:rFonts w:ascii="Arial" w:hAnsi="Arial" w:cs="Arial"/>
          <w:b/>
          <w:i/>
          <w:iCs/>
          <w:lang w:val="es-ES_tradnl"/>
        </w:rPr>
        <w:t>Remuneración para actores y actrices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</w:t>
      </w:r>
      <w:r w:rsidRPr="00DD3F11">
        <w:rPr>
          <w:rFonts w:ascii="Arial" w:hAnsi="Arial" w:cs="Arial"/>
        </w:rPr>
        <w:t xml:space="preserve">Se establecerán tarifas mínimas actualizables para la remuneración de actores y actrices, en los diferentes sectores de la industria audiovisual, teatral y del entretenimiento. El establecimiento de estas tarifas será resultado de un acuerdo entre los representantes de cada uno de los sectores, las organizaciones de actores más representativas y el Gobierno nacional, que deberá darse a más tardar dentro de los seis meses posteriores a la publicación de esta ley. Las tarifas se aplicarán sin importar el tipo o naturaleza de vinculación de los actores y actrices. 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b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</w:rPr>
      </w:pPr>
      <w:r w:rsidRPr="00DD3F11">
        <w:rPr>
          <w:rFonts w:ascii="Arial" w:hAnsi="Arial" w:cs="Arial"/>
          <w:b/>
        </w:rPr>
        <w:t>Parágrafo:</w:t>
      </w:r>
      <w:r w:rsidRPr="00DD3F11">
        <w:rPr>
          <w:rFonts w:ascii="Arial" w:hAnsi="Arial" w:cs="Arial"/>
        </w:rPr>
        <w:t xml:space="preserve"> Si transcurrido el plazo contemplado en este artículo no se han fijado las tarifas correspondientes, el Ministerio del Trabajo las reglamentará. 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b/>
          <w:spacing w:val="4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spacing w:val="4"/>
          <w:lang w:val="es-ES_tradnl"/>
        </w:rPr>
        <w:t xml:space="preserve">Artículo 11. </w:t>
      </w:r>
      <w:r w:rsidRPr="00DD3F11">
        <w:rPr>
          <w:rFonts w:ascii="Arial" w:hAnsi="Arial" w:cs="Arial"/>
          <w:b/>
          <w:i/>
          <w:iCs/>
          <w:spacing w:val="4"/>
          <w:lang w:val="es-ES_tradnl"/>
        </w:rPr>
        <w:t>Pago de promoción de marcas</w:t>
      </w:r>
      <w:r w:rsidRPr="00DD3F11">
        <w:rPr>
          <w:rFonts w:ascii="Arial" w:hAnsi="Arial" w:cs="Arial"/>
          <w:b/>
          <w:spacing w:val="4"/>
          <w:lang w:val="es-ES_tradnl"/>
        </w:rPr>
        <w:t>.</w:t>
      </w:r>
      <w:r w:rsidRPr="00DD3F11">
        <w:rPr>
          <w:rFonts w:ascii="Arial" w:hAnsi="Arial" w:cs="Arial"/>
          <w:spacing w:val="4"/>
          <w:lang w:val="es-ES_tradnl"/>
        </w:rPr>
        <w:t xml:space="preserve"> La exposición de marcas en forma directa por el actor o actriz con fines publicitarios en desarrollo del personaje asignado, bien sea mediante diálogo, su vestuario o la utilería que utilice, será concertada y remunerada de forma independiente a su trabajo de actuación.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0527D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Artículo 12. Contrato sobre derechos patrimoniales del actor</w:t>
      </w:r>
      <w:r w:rsidRPr="00DD3F11">
        <w:rPr>
          <w:rFonts w:ascii="Arial" w:hAnsi="Arial" w:cs="Arial"/>
          <w:b/>
          <w:i/>
          <w:lang w:val="es-ES_tradnl"/>
        </w:rPr>
        <w:t>.</w:t>
      </w:r>
      <w:r w:rsidRPr="00DD3F11">
        <w:rPr>
          <w:rFonts w:ascii="Arial" w:hAnsi="Arial" w:cs="Arial"/>
          <w:b/>
          <w:lang w:val="es-ES_tradnl"/>
        </w:rPr>
        <w:t xml:space="preserve"> </w:t>
      </w:r>
      <w:r w:rsidR="0030527D" w:rsidRPr="0030527D">
        <w:rPr>
          <w:rFonts w:ascii="Arial" w:hAnsi="Arial" w:cs="Arial"/>
          <w:lang w:val="es-ES_tradnl"/>
        </w:rPr>
        <w:t>En la aplicación</w:t>
      </w:r>
      <w:r w:rsidR="0030527D">
        <w:rPr>
          <w:rFonts w:ascii="Arial" w:hAnsi="Arial" w:cs="Arial"/>
          <w:lang w:val="es-ES_tradnl"/>
        </w:rPr>
        <w:t xml:space="preserve"> </w:t>
      </w:r>
      <w:r w:rsidR="0030527D" w:rsidRPr="0030527D">
        <w:rPr>
          <w:rFonts w:ascii="Arial" w:hAnsi="Arial" w:cs="Arial"/>
          <w:lang w:val="es-ES_tradnl"/>
        </w:rPr>
        <w:t>de la</w:t>
      </w:r>
      <w:r w:rsidR="0030527D">
        <w:rPr>
          <w:rFonts w:ascii="Arial" w:hAnsi="Arial" w:cs="Arial"/>
          <w:b/>
          <w:lang w:val="es-ES_tradnl"/>
        </w:rPr>
        <w:t xml:space="preserve"> </w:t>
      </w:r>
      <w:r w:rsidR="0030527D">
        <w:rPr>
          <w:rFonts w:ascii="Arial" w:hAnsi="Arial" w:cs="Arial"/>
          <w:lang w:val="es-ES_tradnl"/>
        </w:rPr>
        <w:t>presente ley, se consideran derechos patrimoniales exclusivos los siguientes:</w:t>
      </w:r>
    </w:p>
    <w:p w:rsidR="0030527D" w:rsidRDefault="0030527D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0527D" w:rsidRDefault="0030527D" w:rsidP="0030527D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Derecho de reproducción,</w:t>
      </w:r>
    </w:p>
    <w:p w:rsidR="0030527D" w:rsidRDefault="0030527D" w:rsidP="0030527D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Derecho de distribución,</w:t>
      </w:r>
    </w:p>
    <w:p w:rsidR="00BC154D" w:rsidRDefault="00BC154D" w:rsidP="0030527D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Derecho de alquiler,</w:t>
      </w:r>
    </w:p>
    <w:p w:rsidR="00BC154D" w:rsidRDefault="00BC154D" w:rsidP="0030527D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Derecho a poner en disposición interpretaciones y ejecuciones fijadas;</w:t>
      </w:r>
    </w:p>
    <w:p w:rsidR="00334C3A" w:rsidRPr="00DD3F11" w:rsidRDefault="00BC154D" w:rsidP="00BC154D">
      <w:pPr>
        <w:pStyle w:val="Sinespaciad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Parágrafo: </w:t>
      </w:r>
      <w:r w:rsidRPr="00BC154D">
        <w:rPr>
          <w:rFonts w:ascii="Arial" w:hAnsi="Arial" w:cs="Arial"/>
          <w:lang w:val="es-ES_tradnl"/>
        </w:rPr>
        <w:t>Los actores y actrices</w:t>
      </w:r>
      <w:r>
        <w:rPr>
          <w:rFonts w:ascii="Arial" w:hAnsi="Arial" w:cs="Arial"/>
          <w:lang w:val="es-ES_tradnl"/>
        </w:rPr>
        <w:t xml:space="preserve"> otorgaran las autorizaciones requeridas para las producciones audiovisuales en las que participan, mediante el pacto de una remuneración determinada entre las partes.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center"/>
        <w:rPr>
          <w:rFonts w:ascii="Arial" w:eastAsia="Times New Roman" w:hAnsi="Arial" w:cs="Arial"/>
          <w:b/>
          <w:lang w:eastAsia="es-CO"/>
        </w:rPr>
      </w:pPr>
      <w:r w:rsidRPr="00DD3F11">
        <w:rPr>
          <w:rFonts w:ascii="Arial" w:hAnsi="Arial" w:cs="Arial"/>
          <w:b/>
          <w:lang w:val="es-ES_tradnl"/>
        </w:rPr>
        <w:t>CAPÍTULO IV</w:t>
      </w:r>
    </w:p>
    <w:p w:rsidR="00334C3A" w:rsidRPr="00DD3F11" w:rsidRDefault="00334C3A" w:rsidP="00334C3A">
      <w:pPr>
        <w:pStyle w:val="Sinespaciado"/>
        <w:jc w:val="center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bCs/>
          <w:lang w:val="es-ES_tradnl"/>
        </w:rPr>
        <w:t>De la promoción y fomento del trabajo para los actores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 xml:space="preserve">Artículo 13°. </w:t>
      </w:r>
      <w:r w:rsidRPr="00DD3F11">
        <w:rPr>
          <w:rFonts w:ascii="Arial" w:hAnsi="Arial" w:cs="Arial"/>
          <w:b/>
          <w:i/>
          <w:iCs/>
          <w:lang w:val="es-ES_tradnl"/>
        </w:rPr>
        <w:t>Oportunidades de empleo para los actores y actrices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Créase una Mesa de Trabajo liderada por el Ministerio del Trabajo para construir de manera concertada entre el Gobierno nacional, organizaciones representativas de actores e industria de la producción audiovisual y el sector de las artes escénicas, las políticas públicas que incentiven la contratación de los actores inscritos en el Registro Nacional de Actores y Actrices.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  <w:r w:rsidRPr="00DD3F11">
        <w:rPr>
          <w:rFonts w:ascii="Arial" w:hAnsi="Arial" w:cs="Arial"/>
          <w:lang w:val="es-ES_tradnl"/>
        </w:rPr>
        <w:t>Esta agenda también incluirá estudios periódicos sobre la inestabilidad en el empleo o trabajo, intermitencia en la cotización y acceso al sistema de seguridad social, protección ante la vejez, ingresos, formas de contratación, obligaciones tributarias, y acceso a la educación profesional y normas culturales, con el objeto de tener insumos para realizar intervenciones o programas integrales que beneficien el ejercicio de la actuación profesional.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>Parágrafo 1°.</w:t>
      </w:r>
      <w:r w:rsidRPr="00DD3F11">
        <w:rPr>
          <w:rFonts w:ascii="Arial" w:hAnsi="Arial" w:cs="Arial"/>
          <w:lang w:val="es-ES_tradnl"/>
        </w:rPr>
        <w:t xml:space="preserve"> El Ministerio de Trabajo reglamentará la estructura, composición, periodicidad y la agenda de la Mesa. Así mismo presentará informes anuales al Congreso de la República.</w:t>
      </w:r>
      <w:r w:rsidRPr="00DD3F11">
        <w:rPr>
          <w:rFonts w:ascii="Arial" w:eastAsia="Times New Roman" w:hAnsi="Arial" w:cs="Arial"/>
          <w:lang w:eastAsia="es-CO"/>
        </w:rPr>
        <w:t xml:space="preserve"> 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b/>
          <w:spacing w:val="4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spacing w:val="4"/>
          <w:lang w:val="es-ES_tradnl"/>
        </w:rPr>
      </w:pPr>
      <w:r w:rsidRPr="00DD3F11">
        <w:rPr>
          <w:rFonts w:ascii="Arial" w:hAnsi="Arial" w:cs="Arial"/>
          <w:b/>
          <w:spacing w:val="4"/>
          <w:lang w:val="es-ES_tradnl"/>
        </w:rPr>
        <w:t xml:space="preserve">Parágrafo 2°. </w:t>
      </w:r>
      <w:r w:rsidRPr="00DD3F11">
        <w:rPr>
          <w:rFonts w:ascii="Arial" w:hAnsi="Arial" w:cs="Arial"/>
          <w:spacing w:val="4"/>
          <w:lang w:val="es-ES_tradnl"/>
        </w:rPr>
        <w:t>Las entidades Nacionales y territoriales competentes podrán incluir a los actores y actrices inscritos en el Registro Nacional de Actores en los programas para la promoción de cultura e identidad nacional, y como apoyo a la Jornada Escolar Complementaria.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b/>
          <w:spacing w:val="4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spacing w:val="4"/>
          <w:lang w:val="es-ES_tradnl"/>
        </w:rPr>
        <w:t>Parágrafo 3º:</w:t>
      </w:r>
      <w:r w:rsidRPr="00DD3F11">
        <w:rPr>
          <w:rFonts w:ascii="Arial" w:hAnsi="Arial" w:cs="Arial"/>
          <w:spacing w:val="4"/>
          <w:lang w:val="es-ES_tradnl"/>
        </w:rPr>
        <w:t xml:space="preserve"> Para el otorgamiento de estímulos, convenios, becas e incentivos públicos utilizados para el fomento de actividades culturales donde se utilicen actores, deberán estar condicionados al cumplimiento del pago por su trabajo y el respeto de los derechos consagrados en la presente ley.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spacing w:val="4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14º. Estímulos para la contratación. </w:t>
      </w:r>
      <w:r w:rsidRPr="00DD3F11">
        <w:rPr>
          <w:rFonts w:ascii="Arial" w:hAnsi="Arial" w:cs="Arial"/>
          <w:lang w:val="es-ES_tradnl"/>
        </w:rPr>
        <w:t>El Ministerio de Cultura adoptará todas las medidas conducentes a incentivar, promover y crear estímulos para la contratación de los actores inscritos en el Registro Nacional de Actores y Actrices.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spacing w:val="4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spacing w:val="4"/>
          <w:lang w:val="es-ES_tradnl"/>
        </w:rPr>
      </w:pPr>
      <w:r w:rsidRPr="00DD3F11">
        <w:rPr>
          <w:rFonts w:ascii="Arial" w:hAnsi="Arial" w:cs="Arial"/>
          <w:b/>
          <w:spacing w:val="4"/>
          <w:lang w:val="es-ES_tradnl"/>
        </w:rPr>
        <w:t xml:space="preserve">Artículo 15. </w:t>
      </w:r>
      <w:r w:rsidRPr="00DD3F11">
        <w:rPr>
          <w:rFonts w:ascii="Arial" w:hAnsi="Arial" w:cs="Arial"/>
          <w:b/>
          <w:i/>
          <w:iCs/>
          <w:spacing w:val="4"/>
          <w:lang w:val="es-ES_tradnl"/>
        </w:rPr>
        <w:t>Recursos para dramatizados</w:t>
      </w:r>
      <w:r w:rsidRPr="00DD3F11">
        <w:rPr>
          <w:rFonts w:ascii="Arial" w:hAnsi="Arial" w:cs="Arial"/>
          <w:b/>
          <w:spacing w:val="4"/>
          <w:lang w:val="es-ES_tradnl"/>
        </w:rPr>
        <w:t>.</w:t>
      </w:r>
      <w:r w:rsidRPr="00DD3F11">
        <w:rPr>
          <w:rFonts w:ascii="Arial" w:hAnsi="Arial" w:cs="Arial"/>
          <w:spacing w:val="4"/>
          <w:lang w:val="es-ES_tradnl"/>
        </w:rPr>
        <w:t xml:space="preserve"> Los recursos destinados a promover el desarrollo de la televisión y los contenidos de que trata el artículo 16 de la Ley 1507 de 2012 serán distribuidos garantizando que no falten producciones en las que se tenga participación actoral.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Artículo 16.</w:t>
      </w:r>
      <w:r w:rsidRPr="00DD3F11">
        <w:rPr>
          <w:rFonts w:ascii="Arial" w:hAnsi="Arial" w:cs="Arial"/>
          <w:b/>
          <w:i/>
          <w:iCs/>
          <w:lang w:val="es-ES_tradnl"/>
        </w:rPr>
        <w:t xml:space="preserve"> Impulso a la producción nacional de dramatizados para la televisión y otros sistemas de emisión.</w:t>
      </w:r>
      <w:r w:rsidRPr="00DD3F11">
        <w:rPr>
          <w:rFonts w:ascii="Arial" w:hAnsi="Arial" w:cs="Arial"/>
          <w:lang w:val="es-ES_tradnl"/>
        </w:rPr>
        <w:t xml:space="preserve"> Las autoridades competentes estimularán la producción de dramatizados, series o producciones que requieran para su realización de actores y actrices, dentro de la programación de producción nacional en la televisión privada o pública y todos los sistemas de emisión autorizados por el Estado.</w:t>
      </w: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Parágrafo 1°.</w:t>
      </w:r>
      <w:r w:rsidRPr="00DD3F11">
        <w:rPr>
          <w:rFonts w:ascii="Arial" w:hAnsi="Arial" w:cs="Arial"/>
          <w:lang w:val="es-ES_tradnl"/>
        </w:rPr>
        <w:t xml:space="preserve"> Con el </w:t>
      </w:r>
      <w:r w:rsidRPr="00DD3F11">
        <w:rPr>
          <w:rFonts w:ascii="Arial" w:hAnsi="Arial" w:cs="Arial"/>
          <w:lang w:val="es-ES_tradnl"/>
        </w:rPr>
        <w:t>ánimo</w:t>
      </w:r>
      <w:r w:rsidRPr="00DD3F11">
        <w:rPr>
          <w:rFonts w:ascii="Arial" w:hAnsi="Arial" w:cs="Arial"/>
          <w:lang w:val="es-ES_tradnl"/>
        </w:rPr>
        <w:t xml:space="preserve"> de salvaguardar, fomentar y desarrollar la identidad cultural, las plataformas digitales o plataformas de trasmisión audiovisual vía internet (plataformas OTT, </w:t>
      </w:r>
      <w:proofErr w:type="spellStart"/>
      <w:r w:rsidRPr="00DD3F11">
        <w:rPr>
          <w:rFonts w:ascii="Arial" w:hAnsi="Arial" w:cs="Arial"/>
          <w:lang w:val="es-ES_tradnl"/>
        </w:rPr>
        <w:t>over</w:t>
      </w:r>
      <w:proofErr w:type="spellEnd"/>
      <w:r w:rsidRPr="00DD3F11">
        <w:rPr>
          <w:rFonts w:ascii="Arial" w:hAnsi="Arial" w:cs="Arial"/>
          <w:lang w:val="es-ES_tradnl"/>
        </w:rPr>
        <w:t xml:space="preserve"> </w:t>
      </w:r>
      <w:proofErr w:type="spellStart"/>
      <w:r w:rsidRPr="00DD3F11">
        <w:rPr>
          <w:rFonts w:ascii="Arial" w:hAnsi="Arial" w:cs="Arial"/>
          <w:lang w:val="es-ES_tradnl"/>
        </w:rPr>
        <w:t>the</w:t>
      </w:r>
      <w:proofErr w:type="spellEnd"/>
      <w:r w:rsidRPr="00DD3F11">
        <w:rPr>
          <w:rFonts w:ascii="Arial" w:hAnsi="Arial" w:cs="Arial"/>
          <w:lang w:val="es-ES_tradnl"/>
        </w:rPr>
        <w:t xml:space="preserve"> top) y los cable operadores de televisión que tengan canales de producción propia, deberán </w:t>
      </w:r>
      <w:r w:rsidRPr="00DD3F11">
        <w:rPr>
          <w:rFonts w:ascii="Arial" w:hAnsi="Arial" w:cs="Arial"/>
          <w:lang w:val="es-ES_tradnl"/>
        </w:rPr>
        <w:lastRenderedPageBreak/>
        <w:t>garantizar la producción y trasmisión de dramatizados, series o producciones que en su realización utilicen de actores y actrices Colombianos.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center"/>
        <w:rPr>
          <w:rFonts w:ascii="Arial" w:hAnsi="Arial" w:cs="Arial"/>
          <w:b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CAPÍTULO V</w:t>
      </w:r>
    </w:p>
    <w:p w:rsidR="00334C3A" w:rsidRPr="00DD3F11" w:rsidRDefault="00334C3A" w:rsidP="00334C3A">
      <w:pPr>
        <w:pStyle w:val="Sinespaciado"/>
        <w:jc w:val="center"/>
        <w:rPr>
          <w:rFonts w:ascii="Arial" w:hAnsi="Arial" w:cs="Arial"/>
          <w:b/>
          <w:lang w:val="es-ES_tradnl"/>
        </w:rPr>
      </w:pPr>
      <w:r w:rsidRPr="00DD3F11">
        <w:rPr>
          <w:rFonts w:ascii="Arial" w:hAnsi="Arial" w:cs="Arial"/>
          <w:b/>
          <w:lang w:val="es-ES_tradnl"/>
        </w:rPr>
        <w:t>Inspección, Vigilancia y Control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17. </w:t>
      </w:r>
      <w:r w:rsidRPr="00DD3F11">
        <w:rPr>
          <w:rFonts w:ascii="Arial" w:hAnsi="Arial" w:cs="Arial"/>
          <w:b/>
          <w:i/>
          <w:lang w:val="es-ES_tradnl"/>
        </w:rPr>
        <w:t>Inspección, vigilancia y control.</w:t>
      </w:r>
      <w:r w:rsidRPr="00DD3F11">
        <w:rPr>
          <w:rFonts w:ascii="Arial" w:hAnsi="Arial" w:cs="Arial"/>
          <w:lang w:val="es-ES_tradnl"/>
        </w:rPr>
        <w:t xml:space="preserve"> Con el fin de garantizar las disposiciones establecidas en la presente ley, las autoridades del orden nacional, departamental y municipal cumplirán sus funciones de inspección, vigilancia y control respectivos, de acuerdo con sus respectivas competencias, para verificar el cumplimiento de la ley.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eastAsia="Times New Roman" w:hAnsi="Arial" w:cs="Arial"/>
          <w:lang w:eastAsia="es-CO"/>
        </w:rPr>
      </w:pPr>
      <w:r w:rsidRPr="00DD3F11">
        <w:rPr>
          <w:rFonts w:ascii="Arial" w:hAnsi="Arial" w:cs="Arial"/>
          <w:b/>
          <w:lang w:val="es-ES_tradnl"/>
        </w:rPr>
        <w:t xml:space="preserve">Artículo 18. </w:t>
      </w:r>
      <w:r w:rsidRPr="00DD3F11">
        <w:rPr>
          <w:rFonts w:ascii="Arial" w:hAnsi="Arial" w:cs="Arial"/>
          <w:b/>
          <w:i/>
          <w:iCs/>
          <w:lang w:val="es-ES_tradnl"/>
        </w:rPr>
        <w:t>Colaboración armónica</w:t>
      </w:r>
      <w:r w:rsidRPr="00DD3F11">
        <w:rPr>
          <w:rFonts w:ascii="Arial" w:hAnsi="Arial" w:cs="Arial"/>
          <w:lang w:val="es-ES_tradnl"/>
        </w:rPr>
        <w:t>. Las entidades del Estado, sin perjuicio de su autonomía, trabajarán de manera armónica y articulada para dar cumplimiento a los fines previstos en la presente ley.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b/>
          <w:lang w:val="es-ES_tradnl"/>
        </w:rPr>
        <w:t xml:space="preserve">Artículo 19. </w:t>
      </w:r>
      <w:r w:rsidRPr="00DD3F11">
        <w:rPr>
          <w:rFonts w:ascii="Arial" w:hAnsi="Arial" w:cs="Arial"/>
          <w:b/>
          <w:i/>
          <w:iCs/>
          <w:lang w:val="es-ES_tradnl"/>
        </w:rPr>
        <w:t>Vigencia y derogatorias</w:t>
      </w:r>
      <w:r w:rsidRPr="00DD3F11">
        <w:rPr>
          <w:rFonts w:ascii="Arial" w:hAnsi="Arial" w:cs="Arial"/>
          <w:b/>
          <w:lang w:val="es-ES_tradnl"/>
        </w:rPr>
        <w:t>.</w:t>
      </w:r>
      <w:r w:rsidRPr="00DD3F11">
        <w:rPr>
          <w:rFonts w:ascii="Arial" w:hAnsi="Arial" w:cs="Arial"/>
          <w:lang w:val="es-ES_tradnl"/>
        </w:rPr>
        <w:t xml:space="preserve"> La presente ley rige a partir de su promulgación y deroga todas las disposiciones que le sean contrarias.</w:t>
      </w: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DD3F11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</w:p>
    <w:p w:rsidR="00334C3A" w:rsidRPr="00334C3A" w:rsidRDefault="00334C3A" w:rsidP="00334C3A">
      <w:pPr>
        <w:pStyle w:val="Sinespaciado"/>
        <w:jc w:val="both"/>
        <w:rPr>
          <w:rFonts w:ascii="Arial" w:hAnsi="Arial" w:cs="Arial"/>
          <w:b/>
          <w:lang w:val="es-ES_tradnl"/>
        </w:rPr>
      </w:pPr>
      <w:r w:rsidRPr="00334C3A">
        <w:rPr>
          <w:rFonts w:ascii="Arial" w:hAnsi="Arial" w:cs="Arial"/>
          <w:b/>
          <w:lang w:val="es-ES_tradnl"/>
        </w:rPr>
        <w:t>ANGELA MARÍA ROBLEDO GÓMEZ</w:t>
      </w:r>
    </w:p>
    <w:p w:rsidR="00334C3A" w:rsidRDefault="00334C3A" w:rsidP="00334C3A">
      <w:pPr>
        <w:pStyle w:val="Sinespaciado"/>
        <w:jc w:val="both"/>
        <w:rPr>
          <w:rFonts w:ascii="Arial" w:hAnsi="Arial" w:cs="Arial"/>
          <w:lang w:val="es-ES_tradnl"/>
        </w:rPr>
      </w:pPr>
      <w:r w:rsidRPr="00DD3F11">
        <w:rPr>
          <w:rFonts w:ascii="Arial" w:hAnsi="Arial" w:cs="Arial"/>
          <w:lang w:val="es-ES_tradnl"/>
        </w:rPr>
        <w:t>Representante a la Cámara</w:t>
      </w:r>
    </w:p>
    <w:p w:rsidR="005473D7" w:rsidRPr="00D54C4C" w:rsidRDefault="00334C3A" w:rsidP="00D54C4C">
      <w:pPr>
        <w:pStyle w:val="Sinespaciad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Ponente única</w:t>
      </w:r>
    </w:p>
    <w:sectPr w:rsidR="005473D7" w:rsidRPr="00D54C4C" w:rsidSect="00A63400">
      <w:headerReference w:type="default" r:id="rId8"/>
      <w:footerReference w:type="default" r:id="rId9"/>
      <w:pgSz w:w="12240" w:h="15840" w:code="1"/>
      <w:pgMar w:top="2155" w:right="1134" w:bottom="567" w:left="170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E3" w:rsidRDefault="00D75BE3" w:rsidP="001A75AA">
      <w:pPr>
        <w:spacing w:after="0" w:line="240" w:lineRule="auto"/>
      </w:pPr>
      <w:r>
        <w:separator/>
      </w:r>
    </w:p>
  </w:endnote>
  <w:endnote w:type="continuationSeparator" w:id="0">
    <w:p w:rsidR="00D75BE3" w:rsidRDefault="00D75BE3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E3" w:rsidRDefault="00D75BE3" w:rsidP="001A75AA">
      <w:pPr>
        <w:spacing w:after="0" w:line="240" w:lineRule="auto"/>
      </w:pPr>
      <w:r>
        <w:separator/>
      </w:r>
    </w:p>
  </w:footnote>
  <w:footnote w:type="continuationSeparator" w:id="0">
    <w:p w:rsidR="00D75BE3" w:rsidRDefault="00D75BE3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column">
            <wp:posOffset>1920240</wp:posOffset>
          </wp:positionH>
          <wp:positionV relativeFrom="paragraph">
            <wp:posOffset>-116205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78B"/>
    <w:multiLevelType w:val="hybridMultilevel"/>
    <w:tmpl w:val="8D929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A6"/>
    <w:multiLevelType w:val="hybridMultilevel"/>
    <w:tmpl w:val="24F08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D40"/>
    <w:multiLevelType w:val="hybridMultilevel"/>
    <w:tmpl w:val="2C12F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545"/>
    <w:multiLevelType w:val="hybridMultilevel"/>
    <w:tmpl w:val="76004A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95D88"/>
    <w:multiLevelType w:val="hybridMultilevel"/>
    <w:tmpl w:val="C80E6520"/>
    <w:lvl w:ilvl="0" w:tplc="608423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54731"/>
    <w:multiLevelType w:val="hybridMultilevel"/>
    <w:tmpl w:val="2110C892"/>
    <w:lvl w:ilvl="0" w:tplc="E4427DFE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A6288"/>
    <w:multiLevelType w:val="hybridMultilevel"/>
    <w:tmpl w:val="753CE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032D"/>
    <w:multiLevelType w:val="hybridMultilevel"/>
    <w:tmpl w:val="772C5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5A23"/>
    <w:multiLevelType w:val="hybridMultilevel"/>
    <w:tmpl w:val="746AA500"/>
    <w:lvl w:ilvl="0" w:tplc="1ECCED4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607FB"/>
    <w:multiLevelType w:val="hybridMultilevel"/>
    <w:tmpl w:val="6D26E8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D78"/>
    <w:multiLevelType w:val="hybridMultilevel"/>
    <w:tmpl w:val="8440F39E"/>
    <w:lvl w:ilvl="0" w:tplc="D50E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F23C1"/>
    <w:multiLevelType w:val="hybridMultilevel"/>
    <w:tmpl w:val="09E02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04700"/>
    <w:multiLevelType w:val="hybridMultilevel"/>
    <w:tmpl w:val="403213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047"/>
    <w:multiLevelType w:val="hybridMultilevel"/>
    <w:tmpl w:val="F0688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6F32"/>
    <w:multiLevelType w:val="hybridMultilevel"/>
    <w:tmpl w:val="C75EE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315"/>
    <w:multiLevelType w:val="hybridMultilevel"/>
    <w:tmpl w:val="89E22786"/>
    <w:lvl w:ilvl="0" w:tplc="ADD433EE">
      <w:start w:val="1"/>
      <w:numFmt w:val="decimal"/>
      <w:lvlText w:val="ARTÍCULO %1"/>
      <w:lvlJc w:val="left"/>
      <w:pPr>
        <w:ind w:left="1070" w:hanging="360"/>
      </w:pPr>
      <w:rPr>
        <w:rFonts w:hint="default"/>
        <w:b/>
        <w:color w:val="auto"/>
        <w:lang w:val="es-CO"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0D2779"/>
    <w:multiLevelType w:val="hybridMultilevel"/>
    <w:tmpl w:val="366C34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BF30CF"/>
    <w:multiLevelType w:val="hybridMultilevel"/>
    <w:tmpl w:val="C8DC5E5A"/>
    <w:lvl w:ilvl="0" w:tplc="C26A198E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135C93"/>
    <w:multiLevelType w:val="hybridMultilevel"/>
    <w:tmpl w:val="7B10A7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34196"/>
    <w:multiLevelType w:val="multilevel"/>
    <w:tmpl w:val="8FECB8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0" w15:restartNumberingAfterBreak="0">
    <w:nsid w:val="65B06146"/>
    <w:multiLevelType w:val="hybridMultilevel"/>
    <w:tmpl w:val="B7467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154BF"/>
    <w:multiLevelType w:val="hybridMultilevel"/>
    <w:tmpl w:val="F7088B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E178D"/>
    <w:multiLevelType w:val="hybridMultilevel"/>
    <w:tmpl w:val="66F68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275A"/>
    <w:multiLevelType w:val="hybridMultilevel"/>
    <w:tmpl w:val="1340F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13305"/>
    <w:multiLevelType w:val="multilevel"/>
    <w:tmpl w:val="C958A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77682A7B"/>
    <w:multiLevelType w:val="hybridMultilevel"/>
    <w:tmpl w:val="520E4DF8"/>
    <w:lvl w:ilvl="0" w:tplc="3210D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4D65DD"/>
    <w:multiLevelType w:val="hybridMultilevel"/>
    <w:tmpl w:val="600AC4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D5B2E"/>
    <w:multiLevelType w:val="hybridMultilevel"/>
    <w:tmpl w:val="2452C7C8"/>
    <w:lvl w:ilvl="0" w:tplc="E7CAD5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A4BAD"/>
    <w:multiLevelType w:val="hybridMultilevel"/>
    <w:tmpl w:val="F38A9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2122B"/>
    <w:multiLevelType w:val="hybridMultilevel"/>
    <w:tmpl w:val="5C4E7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1E29"/>
    <w:multiLevelType w:val="hybridMultilevel"/>
    <w:tmpl w:val="68BEB80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123AD1"/>
    <w:multiLevelType w:val="hybridMultilevel"/>
    <w:tmpl w:val="67A8367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27"/>
  </w:num>
  <w:num w:numId="5">
    <w:abstractNumId w:val="10"/>
  </w:num>
  <w:num w:numId="6">
    <w:abstractNumId w:val="19"/>
  </w:num>
  <w:num w:numId="7">
    <w:abstractNumId w:val="17"/>
  </w:num>
  <w:num w:numId="8">
    <w:abstractNumId w:val="30"/>
  </w:num>
  <w:num w:numId="9">
    <w:abstractNumId w:val="22"/>
  </w:num>
  <w:num w:numId="10">
    <w:abstractNumId w:val="31"/>
  </w:num>
  <w:num w:numId="11">
    <w:abstractNumId w:val="8"/>
  </w:num>
  <w:num w:numId="12">
    <w:abstractNumId w:val="9"/>
  </w:num>
  <w:num w:numId="13">
    <w:abstractNumId w:val="5"/>
  </w:num>
  <w:num w:numId="14">
    <w:abstractNumId w:val="28"/>
  </w:num>
  <w:num w:numId="15">
    <w:abstractNumId w:val="2"/>
  </w:num>
  <w:num w:numId="16">
    <w:abstractNumId w:val="20"/>
  </w:num>
  <w:num w:numId="17">
    <w:abstractNumId w:val="1"/>
  </w:num>
  <w:num w:numId="18">
    <w:abstractNumId w:val="13"/>
  </w:num>
  <w:num w:numId="19">
    <w:abstractNumId w:val="6"/>
  </w:num>
  <w:num w:numId="20">
    <w:abstractNumId w:val="16"/>
  </w:num>
  <w:num w:numId="21">
    <w:abstractNumId w:val="14"/>
  </w:num>
  <w:num w:numId="22">
    <w:abstractNumId w:val="12"/>
  </w:num>
  <w:num w:numId="23">
    <w:abstractNumId w:val="23"/>
  </w:num>
  <w:num w:numId="24">
    <w:abstractNumId w:val="21"/>
  </w:num>
  <w:num w:numId="25">
    <w:abstractNumId w:val="29"/>
  </w:num>
  <w:num w:numId="26">
    <w:abstractNumId w:val="15"/>
  </w:num>
  <w:num w:numId="27">
    <w:abstractNumId w:val="26"/>
  </w:num>
  <w:num w:numId="28">
    <w:abstractNumId w:val="3"/>
  </w:num>
  <w:num w:numId="29">
    <w:abstractNumId w:val="7"/>
  </w:num>
  <w:num w:numId="30">
    <w:abstractNumId w:val="18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12BC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58D4"/>
    <w:rsid w:val="000971B7"/>
    <w:rsid w:val="000A3D97"/>
    <w:rsid w:val="000B047D"/>
    <w:rsid w:val="000B41A9"/>
    <w:rsid w:val="000B7E47"/>
    <w:rsid w:val="000C69AC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200519"/>
    <w:rsid w:val="00201497"/>
    <w:rsid w:val="00203ACE"/>
    <w:rsid w:val="002119E3"/>
    <w:rsid w:val="002126FF"/>
    <w:rsid w:val="0021331D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95486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0BFD"/>
    <w:rsid w:val="00305108"/>
    <w:rsid w:val="0030527D"/>
    <w:rsid w:val="003124F4"/>
    <w:rsid w:val="0031513C"/>
    <w:rsid w:val="0032258F"/>
    <w:rsid w:val="00334C3A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91812"/>
    <w:rsid w:val="003A01C5"/>
    <w:rsid w:val="003A26FB"/>
    <w:rsid w:val="003A2C63"/>
    <w:rsid w:val="003A4DEC"/>
    <w:rsid w:val="003A6AE5"/>
    <w:rsid w:val="003B0F5C"/>
    <w:rsid w:val="003B2C8F"/>
    <w:rsid w:val="003B3EBB"/>
    <w:rsid w:val="003C0DF5"/>
    <w:rsid w:val="003C2A93"/>
    <w:rsid w:val="003C3E07"/>
    <w:rsid w:val="003D161F"/>
    <w:rsid w:val="003D3D21"/>
    <w:rsid w:val="003D7516"/>
    <w:rsid w:val="003D7EC1"/>
    <w:rsid w:val="003E193F"/>
    <w:rsid w:val="003E215A"/>
    <w:rsid w:val="003E3BD9"/>
    <w:rsid w:val="003E4343"/>
    <w:rsid w:val="003F0BA6"/>
    <w:rsid w:val="003F262C"/>
    <w:rsid w:val="003F538E"/>
    <w:rsid w:val="00400978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69F9"/>
    <w:rsid w:val="00441109"/>
    <w:rsid w:val="004431E9"/>
    <w:rsid w:val="00445302"/>
    <w:rsid w:val="004462C8"/>
    <w:rsid w:val="00447E4E"/>
    <w:rsid w:val="00460A7A"/>
    <w:rsid w:val="00461494"/>
    <w:rsid w:val="00461A25"/>
    <w:rsid w:val="004704C6"/>
    <w:rsid w:val="00470B1E"/>
    <w:rsid w:val="0047227F"/>
    <w:rsid w:val="00480F35"/>
    <w:rsid w:val="0048114C"/>
    <w:rsid w:val="00484FBF"/>
    <w:rsid w:val="0048518F"/>
    <w:rsid w:val="00487799"/>
    <w:rsid w:val="00494A18"/>
    <w:rsid w:val="004A1D04"/>
    <w:rsid w:val="004A2006"/>
    <w:rsid w:val="004A4C6F"/>
    <w:rsid w:val="004B1160"/>
    <w:rsid w:val="004B4719"/>
    <w:rsid w:val="004B47F9"/>
    <w:rsid w:val="004B7885"/>
    <w:rsid w:val="004C3501"/>
    <w:rsid w:val="004E674B"/>
    <w:rsid w:val="004E71FD"/>
    <w:rsid w:val="004F1CE6"/>
    <w:rsid w:val="004F215A"/>
    <w:rsid w:val="004F4B33"/>
    <w:rsid w:val="00513432"/>
    <w:rsid w:val="00515700"/>
    <w:rsid w:val="005175EF"/>
    <w:rsid w:val="00523669"/>
    <w:rsid w:val="00527551"/>
    <w:rsid w:val="005301F9"/>
    <w:rsid w:val="00533418"/>
    <w:rsid w:val="0054196F"/>
    <w:rsid w:val="00544B41"/>
    <w:rsid w:val="005473D7"/>
    <w:rsid w:val="00553452"/>
    <w:rsid w:val="0055369D"/>
    <w:rsid w:val="0055410E"/>
    <w:rsid w:val="00556F17"/>
    <w:rsid w:val="00566078"/>
    <w:rsid w:val="00566ED4"/>
    <w:rsid w:val="00570637"/>
    <w:rsid w:val="00571058"/>
    <w:rsid w:val="00580751"/>
    <w:rsid w:val="005835FD"/>
    <w:rsid w:val="00586945"/>
    <w:rsid w:val="00587D45"/>
    <w:rsid w:val="00594EE6"/>
    <w:rsid w:val="00595842"/>
    <w:rsid w:val="005B29EB"/>
    <w:rsid w:val="005C0101"/>
    <w:rsid w:val="005C265D"/>
    <w:rsid w:val="005C46B5"/>
    <w:rsid w:val="005C6DC9"/>
    <w:rsid w:val="005D3575"/>
    <w:rsid w:val="005D4E38"/>
    <w:rsid w:val="005E12DE"/>
    <w:rsid w:val="005E46E7"/>
    <w:rsid w:val="005F2C9B"/>
    <w:rsid w:val="0061264E"/>
    <w:rsid w:val="00613B02"/>
    <w:rsid w:val="00622B3F"/>
    <w:rsid w:val="00622B74"/>
    <w:rsid w:val="0063155D"/>
    <w:rsid w:val="00637559"/>
    <w:rsid w:val="00645C61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A06BA"/>
    <w:rsid w:val="006A0D57"/>
    <w:rsid w:val="006B2B87"/>
    <w:rsid w:val="006B40AC"/>
    <w:rsid w:val="006B757E"/>
    <w:rsid w:val="006C2A67"/>
    <w:rsid w:val="006C302E"/>
    <w:rsid w:val="006C370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3331C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15C8"/>
    <w:rsid w:val="007B390C"/>
    <w:rsid w:val="007B419E"/>
    <w:rsid w:val="007D2527"/>
    <w:rsid w:val="007D43C4"/>
    <w:rsid w:val="007D582E"/>
    <w:rsid w:val="007E024C"/>
    <w:rsid w:val="007E0D32"/>
    <w:rsid w:val="007F0C2F"/>
    <w:rsid w:val="007F223F"/>
    <w:rsid w:val="007F2A05"/>
    <w:rsid w:val="008054C2"/>
    <w:rsid w:val="00807628"/>
    <w:rsid w:val="00813DA1"/>
    <w:rsid w:val="008255F9"/>
    <w:rsid w:val="00830953"/>
    <w:rsid w:val="00832188"/>
    <w:rsid w:val="00832CEA"/>
    <w:rsid w:val="0084327F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F0D"/>
    <w:rsid w:val="008D61E0"/>
    <w:rsid w:val="008E049D"/>
    <w:rsid w:val="008E0963"/>
    <w:rsid w:val="008E331F"/>
    <w:rsid w:val="008E63C3"/>
    <w:rsid w:val="008F4264"/>
    <w:rsid w:val="008F4687"/>
    <w:rsid w:val="00900E3B"/>
    <w:rsid w:val="0090242F"/>
    <w:rsid w:val="009120F5"/>
    <w:rsid w:val="0092131B"/>
    <w:rsid w:val="0092191E"/>
    <w:rsid w:val="00923085"/>
    <w:rsid w:val="00925C03"/>
    <w:rsid w:val="009277E9"/>
    <w:rsid w:val="00931867"/>
    <w:rsid w:val="00935879"/>
    <w:rsid w:val="00940610"/>
    <w:rsid w:val="00945341"/>
    <w:rsid w:val="00963451"/>
    <w:rsid w:val="00963D5C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A0AAB"/>
    <w:rsid w:val="009A3159"/>
    <w:rsid w:val="009C1657"/>
    <w:rsid w:val="009C42ED"/>
    <w:rsid w:val="009C714F"/>
    <w:rsid w:val="009D3CE0"/>
    <w:rsid w:val="009D43DE"/>
    <w:rsid w:val="009D6D67"/>
    <w:rsid w:val="009E52D9"/>
    <w:rsid w:val="009F068A"/>
    <w:rsid w:val="009F2514"/>
    <w:rsid w:val="009F7BF3"/>
    <w:rsid w:val="00A05691"/>
    <w:rsid w:val="00A20232"/>
    <w:rsid w:val="00A20FB3"/>
    <w:rsid w:val="00A24B2C"/>
    <w:rsid w:val="00A26683"/>
    <w:rsid w:val="00A32626"/>
    <w:rsid w:val="00A3797C"/>
    <w:rsid w:val="00A466E2"/>
    <w:rsid w:val="00A4736E"/>
    <w:rsid w:val="00A52153"/>
    <w:rsid w:val="00A5385F"/>
    <w:rsid w:val="00A55B53"/>
    <w:rsid w:val="00A63400"/>
    <w:rsid w:val="00A644EA"/>
    <w:rsid w:val="00A66C8B"/>
    <w:rsid w:val="00A739BC"/>
    <w:rsid w:val="00A76565"/>
    <w:rsid w:val="00A769D4"/>
    <w:rsid w:val="00A76CEC"/>
    <w:rsid w:val="00A76ED5"/>
    <w:rsid w:val="00A908E5"/>
    <w:rsid w:val="00A92671"/>
    <w:rsid w:val="00A9451E"/>
    <w:rsid w:val="00AA3B73"/>
    <w:rsid w:val="00AB10D9"/>
    <w:rsid w:val="00AB4143"/>
    <w:rsid w:val="00AD580C"/>
    <w:rsid w:val="00AE5DE7"/>
    <w:rsid w:val="00AF3851"/>
    <w:rsid w:val="00AF6350"/>
    <w:rsid w:val="00B073B8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4620"/>
    <w:rsid w:val="00B60098"/>
    <w:rsid w:val="00B6307C"/>
    <w:rsid w:val="00B6771D"/>
    <w:rsid w:val="00B77BA5"/>
    <w:rsid w:val="00B85891"/>
    <w:rsid w:val="00B90F27"/>
    <w:rsid w:val="00B943BF"/>
    <w:rsid w:val="00B94E5B"/>
    <w:rsid w:val="00BA02B8"/>
    <w:rsid w:val="00BA5448"/>
    <w:rsid w:val="00BC154D"/>
    <w:rsid w:val="00BC2AD3"/>
    <w:rsid w:val="00BD15BA"/>
    <w:rsid w:val="00BD516F"/>
    <w:rsid w:val="00BD647E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F1641"/>
    <w:rsid w:val="00CF69D0"/>
    <w:rsid w:val="00D00608"/>
    <w:rsid w:val="00D00F0A"/>
    <w:rsid w:val="00D02589"/>
    <w:rsid w:val="00D06144"/>
    <w:rsid w:val="00D131EF"/>
    <w:rsid w:val="00D13B38"/>
    <w:rsid w:val="00D14652"/>
    <w:rsid w:val="00D16E2F"/>
    <w:rsid w:val="00D23344"/>
    <w:rsid w:val="00D241B3"/>
    <w:rsid w:val="00D328A2"/>
    <w:rsid w:val="00D332D3"/>
    <w:rsid w:val="00D47073"/>
    <w:rsid w:val="00D504C2"/>
    <w:rsid w:val="00D506F5"/>
    <w:rsid w:val="00D54C4C"/>
    <w:rsid w:val="00D56A38"/>
    <w:rsid w:val="00D7467B"/>
    <w:rsid w:val="00D75BE3"/>
    <w:rsid w:val="00D761DD"/>
    <w:rsid w:val="00D8118C"/>
    <w:rsid w:val="00D81B26"/>
    <w:rsid w:val="00D83320"/>
    <w:rsid w:val="00D83610"/>
    <w:rsid w:val="00D86E0C"/>
    <w:rsid w:val="00D9054F"/>
    <w:rsid w:val="00D94A44"/>
    <w:rsid w:val="00D97B31"/>
    <w:rsid w:val="00DA6203"/>
    <w:rsid w:val="00DB08FB"/>
    <w:rsid w:val="00DB1EC0"/>
    <w:rsid w:val="00DC1A7C"/>
    <w:rsid w:val="00DD2204"/>
    <w:rsid w:val="00DD235F"/>
    <w:rsid w:val="00DD2F8B"/>
    <w:rsid w:val="00DD62CA"/>
    <w:rsid w:val="00DE4A3F"/>
    <w:rsid w:val="00DE5D05"/>
    <w:rsid w:val="00E020D5"/>
    <w:rsid w:val="00E05114"/>
    <w:rsid w:val="00E17403"/>
    <w:rsid w:val="00E42F28"/>
    <w:rsid w:val="00E501B8"/>
    <w:rsid w:val="00E53778"/>
    <w:rsid w:val="00E61324"/>
    <w:rsid w:val="00E62CF7"/>
    <w:rsid w:val="00E67E16"/>
    <w:rsid w:val="00E73DC8"/>
    <w:rsid w:val="00E77C5E"/>
    <w:rsid w:val="00E87FD1"/>
    <w:rsid w:val="00E927B9"/>
    <w:rsid w:val="00E9282E"/>
    <w:rsid w:val="00EA23F9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B54"/>
    <w:rsid w:val="00EE5220"/>
    <w:rsid w:val="00EE73BD"/>
    <w:rsid w:val="00EF3669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757C"/>
    <w:rsid w:val="00F306B2"/>
    <w:rsid w:val="00F318B7"/>
    <w:rsid w:val="00F33658"/>
    <w:rsid w:val="00F343C3"/>
    <w:rsid w:val="00F36C59"/>
    <w:rsid w:val="00F4582E"/>
    <w:rsid w:val="00F53260"/>
    <w:rsid w:val="00F534FB"/>
    <w:rsid w:val="00F56B3B"/>
    <w:rsid w:val="00F570CD"/>
    <w:rsid w:val="00F67C6B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4D9D"/>
    <w:rsid w:val="00FD5A94"/>
    <w:rsid w:val="00FE0837"/>
    <w:rsid w:val="00FE2780"/>
    <w:rsid w:val="00FE2D19"/>
    <w:rsid w:val="00FE3862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99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59"/>
    <w:rsid w:val="005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33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A623-1325-4362-AAC9-E3155539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yanirayanguas</cp:lastModifiedBy>
  <cp:revision>3</cp:revision>
  <cp:lastPrinted>2017-09-12T20:26:00Z</cp:lastPrinted>
  <dcterms:created xsi:type="dcterms:W3CDTF">2017-09-19T21:11:00Z</dcterms:created>
  <dcterms:modified xsi:type="dcterms:W3CDTF">2017-09-19T21:12:00Z</dcterms:modified>
</cp:coreProperties>
</file>